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ED64" w14:textId="55C5DD2F" w:rsidR="00150152" w:rsidRPr="004A7A55" w:rsidRDefault="00150152" w:rsidP="00150152">
      <w:pPr>
        <w:pStyle w:val="Title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4A7A5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PLANNING </w:t>
      </w:r>
      <w:r w:rsidR="00BB5EC7" w:rsidRPr="004A7A55">
        <w:rPr>
          <w:rFonts w:asciiTheme="minorHAnsi" w:hAnsiTheme="minorHAnsi" w:cstheme="minorHAnsi"/>
          <w:b/>
          <w:bCs/>
          <w:color w:val="auto"/>
          <w:sz w:val="32"/>
          <w:szCs w:val="32"/>
        </w:rPr>
        <w:t>GU</w:t>
      </w:r>
      <w:r w:rsidR="004A7A55" w:rsidRPr="004A7A55">
        <w:rPr>
          <w:rFonts w:asciiTheme="minorHAnsi" w:hAnsiTheme="minorHAnsi" w:cstheme="minorHAnsi"/>
          <w:b/>
          <w:bCs/>
          <w:color w:val="auto"/>
          <w:sz w:val="32"/>
          <w:szCs w:val="32"/>
        </w:rPr>
        <w:t>I</w:t>
      </w:r>
      <w:r w:rsidR="00BB5EC7" w:rsidRPr="004A7A55">
        <w:rPr>
          <w:rFonts w:asciiTheme="minorHAnsi" w:hAnsiTheme="minorHAnsi" w:cstheme="minorHAnsi"/>
          <w:b/>
          <w:bCs/>
          <w:color w:val="auto"/>
          <w:sz w:val="32"/>
          <w:szCs w:val="32"/>
        </w:rPr>
        <w:t>DANCE</w:t>
      </w:r>
    </w:p>
    <w:p w14:paraId="4CE35CD1" w14:textId="1EB91C22" w:rsidR="00150152" w:rsidRPr="004A7A55" w:rsidRDefault="00BB5EC7" w:rsidP="007414CF">
      <w:p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This document is a reference document for information this is not a policy</w:t>
      </w:r>
    </w:p>
    <w:p w14:paraId="76833838" w14:textId="720AAB7C" w:rsidR="00656B70" w:rsidRPr="004A7A55" w:rsidRDefault="00BB5EC7" w:rsidP="00F23C7F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4A7A55">
        <w:rPr>
          <w:rFonts w:asciiTheme="minorHAnsi" w:hAnsiTheme="minorHAnsi" w:cstheme="minorHAnsi"/>
          <w:color w:val="auto"/>
          <w:sz w:val="22"/>
          <w:szCs w:val="22"/>
        </w:rPr>
        <w:t>EXAMPLES OF MATERIAL PLANNING CONSULTATIONS</w:t>
      </w:r>
    </w:p>
    <w:p w14:paraId="6D0AED73" w14:textId="0F4813D0" w:rsidR="00150152" w:rsidRPr="004A7A55" w:rsidRDefault="00BD11C1" w:rsidP="00F23C7F">
      <w:p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 xml:space="preserve">Material considerations must be genuine planning considerations </w:t>
      </w:r>
      <w:proofErr w:type="spellStart"/>
      <w:r w:rsidRPr="004A7A55">
        <w:rPr>
          <w:rFonts w:asciiTheme="minorHAnsi" w:hAnsiTheme="minorHAnsi" w:cstheme="minorHAnsi"/>
        </w:rPr>
        <w:t>i.e</w:t>
      </w:r>
      <w:proofErr w:type="spellEnd"/>
      <w:r w:rsidRPr="004A7A55">
        <w:rPr>
          <w:rFonts w:asciiTheme="minorHAnsi" w:hAnsiTheme="minorHAnsi" w:cstheme="minorHAnsi"/>
        </w:rPr>
        <w:t xml:space="preserve"> they must be related to the purpose of planning legislation and must also fairly and reasonably relate to the issue in question. Examples (no exhaustive list) are:</w:t>
      </w:r>
    </w:p>
    <w:p w14:paraId="193D9702" w14:textId="64991882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Previous planning decisions on the application site</w:t>
      </w:r>
    </w:p>
    <w:p w14:paraId="604E2C3C" w14:textId="737FF104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Previous appeal decisions on the site and on other sites where similar and/or the same development has been proposed</w:t>
      </w:r>
    </w:p>
    <w:p w14:paraId="0E4E229D" w14:textId="0FB5512E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Traffic generation from the development proposed</w:t>
      </w:r>
    </w:p>
    <w:p w14:paraId="741A9A10" w14:textId="7AD761FE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 xml:space="preserve">Road access to the site of the development </w:t>
      </w:r>
    </w:p>
    <w:p w14:paraId="33D74815" w14:textId="034495CA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Nature conservation/impact on protected species (i.e. bats/crested newts) and habitats</w:t>
      </w:r>
    </w:p>
    <w:p w14:paraId="79331F40" w14:textId="0EA05942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Landscaping needed/propose as part of the development</w:t>
      </w:r>
    </w:p>
    <w:p w14:paraId="388CFA04" w14:textId="02F32E3A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Loss of trees on the site and the impact of the development on trees covered by a Tree Preservation Order</w:t>
      </w:r>
    </w:p>
    <w:p w14:paraId="46410F4F" w14:textId="12E284C6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The layout and density of the building/development proposed</w:t>
      </w:r>
    </w:p>
    <w:p w14:paraId="170C4ED6" w14:textId="689B2F88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Overlooking and loss of privacy</w:t>
      </w:r>
    </w:p>
    <w:p w14:paraId="247B7523" w14:textId="309CC1FC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Local, Strategic &amp; National Planning Policies</w:t>
      </w:r>
    </w:p>
    <w:p w14:paraId="08CAA376" w14:textId="6F30BF32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Proposals in the Development Plan/Local Development Framework</w:t>
      </w:r>
    </w:p>
    <w:p w14:paraId="3C23D5C1" w14:textId="78521DB3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Government circulars, orders &amp; statutory instruments</w:t>
      </w:r>
    </w:p>
    <w:p w14:paraId="014A46F4" w14:textId="521EFF01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Impact of the development on a listed building and or setting of a listed building</w:t>
      </w:r>
    </w:p>
    <w:p w14:paraId="0E5EECBC" w14:textId="201E9431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Design, appearance and materials of the proposed development</w:t>
      </w:r>
    </w:p>
    <w:p w14:paraId="5027EF32" w14:textId="1AAE6249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Smells generated by the development</w:t>
      </w:r>
    </w:p>
    <w:p w14:paraId="2EFD3E12" w14:textId="071BFC0A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Impact on highway safety</w:t>
      </w:r>
    </w:p>
    <w:p w14:paraId="57A0C387" w14:textId="20751CA8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Impacts during construction works (e.g. noise associated with crushing or hours of working)- Mainly application to larger developments</w:t>
      </w:r>
    </w:p>
    <w:p w14:paraId="7B875514" w14:textId="5B6801FD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Adequacy of parking, loading &amp; turning facilities associated with the proposed development</w:t>
      </w:r>
    </w:p>
    <w:p w14:paraId="40211D14" w14:textId="65ACFB44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Impact on visual amenity (not loss of a private view)</w:t>
      </w:r>
    </w:p>
    <w:p w14:paraId="38304169" w14:textId="653F3A31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Loss of light or overshadowing resulting from the development</w:t>
      </w:r>
    </w:p>
    <w:p w14:paraId="45A868CE" w14:textId="0E14D904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proofErr w:type="spellStart"/>
      <w:r w:rsidRPr="004A7A55">
        <w:rPr>
          <w:rFonts w:asciiTheme="minorHAnsi" w:hAnsiTheme="minorHAnsi" w:cstheme="minorHAnsi"/>
        </w:rPr>
        <w:t>Archaelogical</w:t>
      </w:r>
      <w:proofErr w:type="spellEnd"/>
      <w:r w:rsidRPr="004A7A55">
        <w:rPr>
          <w:rFonts w:asciiTheme="minorHAnsi" w:hAnsiTheme="minorHAnsi" w:cstheme="minorHAnsi"/>
        </w:rPr>
        <w:t xml:space="preserve"> impacts</w:t>
      </w:r>
    </w:p>
    <w:p w14:paraId="50D6278C" w14:textId="63FFE7E4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Impact on a conservation area</w:t>
      </w:r>
    </w:p>
    <w:p w14:paraId="6B6FF0B7" w14:textId="54F1FD21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 xml:space="preserve">Hazardous materials/ground contamination </w:t>
      </w:r>
    </w:p>
    <w:p w14:paraId="258AE79D" w14:textId="137D0EF9" w:rsidR="00656B70" w:rsidRPr="004A7A55" w:rsidRDefault="00BD11C1" w:rsidP="009257EA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4A7A55">
        <w:rPr>
          <w:rFonts w:asciiTheme="minorHAnsi" w:hAnsiTheme="minorHAnsi" w:cstheme="minorHAnsi"/>
          <w:color w:val="auto"/>
          <w:sz w:val="22"/>
          <w:szCs w:val="22"/>
        </w:rPr>
        <w:t xml:space="preserve">EXAMPLES OF </w:t>
      </w:r>
      <w:proofErr w:type="gramStart"/>
      <w:r w:rsidRPr="004A7A55">
        <w:rPr>
          <w:rFonts w:asciiTheme="minorHAnsi" w:hAnsiTheme="minorHAnsi" w:cstheme="minorHAnsi"/>
          <w:color w:val="auto"/>
          <w:sz w:val="22"/>
          <w:szCs w:val="22"/>
        </w:rPr>
        <w:t>NON MaTERIAL</w:t>
      </w:r>
      <w:proofErr w:type="gramEnd"/>
      <w:r w:rsidRPr="004A7A55">
        <w:rPr>
          <w:rFonts w:asciiTheme="minorHAnsi" w:hAnsiTheme="minorHAnsi" w:cstheme="minorHAnsi"/>
          <w:color w:val="auto"/>
          <w:sz w:val="22"/>
          <w:szCs w:val="22"/>
        </w:rPr>
        <w:t xml:space="preserve"> CONSIDERATIONS </w:t>
      </w:r>
    </w:p>
    <w:p w14:paraId="3FB428D8" w14:textId="48637AD4" w:rsidR="00BD11C1" w:rsidRPr="004A7A55" w:rsidRDefault="00BD11C1" w:rsidP="00BD11C1">
      <w:p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 xml:space="preserve">These won’t be taken into consideration by a planning authority when assessing a planning application </w:t>
      </w:r>
    </w:p>
    <w:p w14:paraId="462FE2B8" w14:textId="1D82BAB2" w:rsidR="008B60A9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Loss of property value</w:t>
      </w:r>
    </w:p>
    <w:p w14:paraId="3B410150" w14:textId="53833E11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lastRenderedPageBreak/>
        <w:t>Loss of private view</w:t>
      </w:r>
    </w:p>
    <w:p w14:paraId="6CF0F873" w14:textId="44023D7D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Private disputes between neighbours</w:t>
      </w:r>
    </w:p>
    <w:p w14:paraId="24FDBDF4" w14:textId="1D0456B6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Restrictive covenants</w:t>
      </w:r>
    </w:p>
    <w:p w14:paraId="4A7F58C9" w14:textId="3162539C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Fence lines/boundary positions</w:t>
      </w:r>
    </w:p>
    <w:p w14:paraId="242E4E42" w14:textId="2F034357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Personal morals/views about the application</w:t>
      </w:r>
    </w:p>
    <w:p w14:paraId="2B3B2491" w14:textId="1B266FF2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Ownership disputes</w:t>
      </w:r>
    </w:p>
    <w:p w14:paraId="2CA148D1" w14:textId="59A79056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Applicant’s motives</w:t>
      </w:r>
    </w:p>
    <w:p w14:paraId="0C59060B" w14:textId="72532CCB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Competition</w:t>
      </w:r>
    </w:p>
    <w:p w14:paraId="7BEA60FA" w14:textId="6B65E845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Issues covered by other legislation e.g. Highways Act</w:t>
      </w:r>
    </w:p>
    <w:p w14:paraId="3F8C9381" w14:textId="59FBFDC2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Impacts during construction work (e.g. general noise &amp; disturbance)</w:t>
      </w:r>
    </w:p>
    <w:p w14:paraId="3342DD1C" w14:textId="67B81A02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Competition between firms</w:t>
      </w:r>
    </w:p>
    <w:p w14:paraId="1CCAB02C" w14:textId="774D5D31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Other legal matters affecting land</w:t>
      </w:r>
    </w:p>
    <w:p w14:paraId="4A132BAA" w14:textId="0026130F" w:rsidR="002B2DAA" w:rsidRPr="004A7A55" w:rsidRDefault="00B63B64" w:rsidP="002B2DA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Disputes over private access rights</w:t>
      </w:r>
    </w:p>
    <w:p w14:paraId="2C87DEBA" w14:textId="77777777" w:rsidR="002B2DAA" w:rsidRPr="004A7A55" w:rsidRDefault="002B2DAA" w:rsidP="0065346B">
      <w:pPr>
        <w:rPr>
          <w:rFonts w:asciiTheme="minorHAnsi" w:hAnsiTheme="minorHAnsi" w:cstheme="minorHAnsi"/>
        </w:rPr>
      </w:pPr>
    </w:p>
    <w:p w14:paraId="1F435A9A" w14:textId="77777777" w:rsidR="00656B70" w:rsidRPr="004A7A55" w:rsidRDefault="00656B70" w:rsidP="00F35816">
      <w:pPr>
        <w:pStyle w:val="Heading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sectPr w:rsidR="00656B70" w:rsidRPr="004A7A55" w:rsidSect="00911436">
      <w:headerReference w:type="default" r:id="rId7"/>
      <w:footerReference w:type="default" r:id="rId8"/>
      <w:type w:val="continuous"/>
      <w:pgSz w:w="11910" w:h="16840"/>
      <w:pgMar w:top="1134" w:right="1134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DB107" w14:textId="77777777" w:rsidR="00A26A85" w:rsidRDefault="00A26A85" w:rsidP="00F00EFE">
      <w:r>
        <w:separator/>
      </w:r>
    </w:p>
  </w:endnote>
  <w:endnote w:type="continuationSeparator" w:id="0">
    <w:p w14:paraId="270BA1AE" w14:textId="77777777" w:rsidR="00A26A85" w:rsidRDefault="00A26A85" w:rsidP="00F0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C4BC" w14:textId="459E0D6D" w:rsidR="00EB6DB1" w:rsidRPr="00567AC8" w:rsidRDefault="00EB6DB1" w:rsidP="001A76A2">
    <w:pPr>
      <w:pStyle w:val="Footer"/>
      <w:tabs>
        <w:tab w:val="clear" w:pos="4513"/>
        <w:tab w:val="clear" w:pos="9026"/>
        <w:tab w:val="right" w:pos="93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BED81" w14:textId="77777777" w:rsidR="00A26A85" w:rsidRDefault="00A26A85" w:rsidP="00F00EFE">
      <w:r>
        <w:separator/>
      </w:r>
    </w:p>
  </w:footnote>
  <w:footnote w:type="continuationSeparator" w:id="0">
    <w:p w14:paraId="4527DF93" w14:textId="77777777" w:rsidR="00A26A85" w:rsidRDefault="00A26A85" w:rsidP="00F0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93C8D" w14:textId="4235941C" w:rsidR="00BD11C1" w:rsidRPr="00285498" w:rsidRDefault="00BD11C1" w:rsidP="004A7A55">
    <w:pPr>
      <w:spacing w:before="82"/>
      <w:ind w:left="1441" w:hanging="965"/>
      <w:rPr>
        <w:rFonts w:ascii="Arial"/>
        <w:spacing w:val="-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137"/>
    <w:multiLevelType w:val="hybridMultilevel"/>
    <w:tmpl w:val="22A2232C"/>
    <w:lvl w:ilvl="0" w:tplc="B6849DBE">
      <w:start w:val="1"/>
      <w:numFmt w:val="bullet"/>
      <w:lvlText w:val=""/>
      <w:lvlJc w:val="left"/>
      <w:pPr>
        <w:ind w:left="820" w:hanging="361"/>
      </w:pPr>
      <w:rPr>
        <w:rFonts w:ascii="Symbol" w:eastAsia="Times New Roman" w:hAnsi="Symbol" w:hint="default"/>
        <w:w w:val="100"/>
        <w:sz w:val="24"/>
      </w:rPr>
    </w:lvl>
    <w:lvl w:ilvl="1" w:tplc="00DC3DB4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87F41C5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132E3AB8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20B05444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3F02B9A8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7626162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41C4568A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47DAD0C2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1" w15:restartNumberingAfterBreak="0">
    <w:nsid w:val="07AE5D2D"/>
    <w:multiLevelType w:val="hybridMultilevel"/>
    <w:tmpl w:val="AA7A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7234BD"/>
    <w:multiLevelType w:val="hybridMultilevel"/>
    <w:tmpl w:val="D9DC47D0"/>
    <w:lvl w:ilvl="0" w:tplc="6C569BB6">
      <w:start w:val="1"/>
      <w:numFmt w:val="bullet"/>
      <w:lvlText w:val=""/>
      <w:lvlJc w:val="left"/>
      <w:pPr>
        <w:ind w:left="1586" w:hanging="360"/>
      </w:pPr>
      <w:rPr>
        <w:rFonts w:ascii="Wingdings" w:eastAsia="Times New Roman" w:hAnsi="Wingdings" w:hint="default"/>
        <w:w w:val="100"/>
        <w:sz w:val="24"/>
      </w:rPr>
    </w:lvl>
    <w:lvl w:ilvl="1" w:tplc="24D41D18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2" w:tplc="9B7E997E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187CB0A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4" w:tplc="37B697AE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5" w:tplc="5AE8D2AC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A630EDDA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7" w:tplc="878EB5A2">
      <w:start w:val="1"/>
      <w:numFmt w:val="bullet"/>
      <w:lvlText w:val="•"/>
      <w:lvlJc w:val="left"/>
      <w:pPr>
        <w:ind w:left="7954" w:hanging="360"/>
      </w:pPr>
      <w:rPr>
        <w:rFonts w:hint="default"/>
      </w:rPr>
    </w:lvl>
    <w:lvl w:ilvl="8" w:tplc="94B2E11A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2F255A46"/>
    <w:multiLevelType w:val="hybridMultilevel"/>
    <w:tmpl w:val="CC742278"/>
    <w:lvl w:ilvl="0" w:tplc="0809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4" w15:restartNumberingAfterBreak="0">
    <w:nsid w:val="3FA60510"/>
    <w:multiLevelType w:val="hybridMultilevel"/>
    <w:tmpl w:val="CCF8C2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32E2295"/>
    <w:multiLevelType w:val="multilevel"/>
    <w:tmpl w:val="998AA7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6AD65189"/>
    <w:multiLevelType w:val="hybridMultilevel"/>
    <w:tmpl w:val="6946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56530C"/>
    <w:multiLevelType w:val="hybridMultilevel"/>
    <w:tmpl w:val="5D5AA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7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6D"/>
    <w:rsid w:val="00021F3C"/>
    <w:rsid w:val="000737F3"/>
    <w:rsid w:val="00076781"/>
    <w:rsid w:val="00096589"/>
    <w:rsid w:val="000A0F3A"/>
    <w:rsid w:val="000A2153"/>
    <w:rsid w:val="000A6F1F"/>
    <w:rsid w:val="000B1F65"/>
    <w:rsid w:val="000E1060"/>
    <w:rsid w:val="000F0A53"/>
    <w:rsid w:val="000F5BA7"/>
    <w:rsid w:val="00150152"/>
    <w:rsid w:val="001674E8"/>
    <w:rsid w:val="001A76A2"/>
    <w:rsid w:val="001B3BF8"/>
    <w:rsid w:val="001E52C2"/>
    <w:rsid w:val="001E7C8D"/>
    <w:rsid w:val="001F5AD6"/>
    <w:rsid w:val="0021228E"/>
    <w:rsid w:val="002230B0"/>
    <w:rsid w:val="0024152D"/>
    <w:rsid w:val="002472BC"/>
    <w:rsid w:val="0025193B"/>
    <w:rsid w:val="00274BAD"/>
    <w:rsid w:val="00285498"/>
    <w:rsid w:val="00295F67"/>
    <w:rsid w:val="002A7A9C"/>
    <w:rsid w:val="002B2DAA"/>
    <w:rsid w:val="002D0F6D"/>
    <w:rsid w:val="002F3066"/>
    <w:rsid w:val="002F674E"/>
    <w:rsid w:val="00314EDA"/>
    <w:rsid w:val="00356EA7"/>
    <w:rsid w:val="00375841"/>
    <w:rsid w:val="00392E3E"/>
    <w:rsid w:val="003A2C1E"/>
    <w:rsid w:val="003A656D"/>
    <w:rsid w:val="003B48DB"/>
    <w:rsid w:val="003D1188"/>
    <w:rsid w:val="003E1BB0"/>
    <w:rsid w:val="004262C3"/>
    <w:rsid w:val="004270A2"/>
    <w:rsid w:val="00435D7D"/>
    <w:rsid w:val="00441E02"/>
    <w:rsid w:val="00446491"/>
    <w:rsid w:val="00473A7C"/>
    <w:rsid w:val="00474FAA"/>
    <w:rsid w:val="00495F8B"/>
    <w:rsid w:val="004A4FCA"/>
    <w:rsid w:val="004A7A55"/>
    <w:rsid w:val="004C7A40"/>
    <w:rsid w:val="004E7F56"/>
    <w:rsid w:val="005011F0"/>
    <w:rsid w:val="0050316B"/>
    <w:rsid w:val="005067F9"/>
    <w:rsid w:val="00512667"/>
    <w:rsid w:val="0051507D"/>
    <w:rsid w:val="00525871"/>
    <w:rsid w:val="0054141C"/>
    <w:rsid w:val="00547F14"/>
    <w:rsid w:val="0056392D"/>
    <w:rsid w:val="00567AC8"/>
    <w:rsid w:val="005A31F1"/>
    <w:rsid w:val="005B761A"/>
    <w:rsid w:val="005C22D1"/>
    <w:rsid w:val="005C537B"/>
    <w:rsid w:val="00612793"/>
    <w:rsid w:val="00626A52"/>
    <w:rsid w:val="00626E26"/>
    <w:rsid w:val="0065346B"/>
    <w:rsid w:val="00656B70"/>
    <w:rsid w:val="0067019B"/>
    <w:rsid w:val="006702F0"/>
    <w:rsid w:val="0068270A"/>
    <w:rsid w:val="00687BD2"/>
    <w:rsid w:val="006A7301"/>
    <w:rsid w:val="006C441E"/>
    <w:rsid w:val="006D0679"/>
    <w:rsid w:val="006E7E73"/>
    <w:rsid w:val="00702602"/>
    <w:rsid w:val="007151E8"/>
    <w:rsid w:val="00736D87"/>
    <w:rsid w:val="007414CF"/>
    <w:rsid w:val="00752FD7"/>
    <w:rsid w:val="00766ABF"/>
    <w:rsid w:val="007715A4"/>
    <w:rsid w:val="00784DB4"/>
    <w:rsid w:val="00791030"/>
    <w:rsid w:val="007A0C85"/>
    <w:rsid w:val="007A4DE6"/>
    <w:rsid w:val="007B4784"/>
    <w:rsid w:val="007C0E68"/>
    <w:rsid w:val="007E5F7F"/>
    <w:rsid w:val="007F03AD"/>
    <w:rsid w:val="007F2E40"/>
    <w:rsid w:val="008057F3"/>
    <w:rsid w:val="0081179C"/>
    <w:rsid w:val="00836214"/>
    <w:rsid w:val="00842ADB"/>
    <w:rsid w:val="00857A46"/>
    <w:rsid w:val="00862DB6"/>
    <w:rsid w:val="008B60A9"/>
    <w:rsid w:val="008B7405"/>
    <w:rsid w:val="008C4196"/>
    <w:rsid w:val="008C63AE"/>
    <w:rsid w:val="00911436"/>
    <w:rsid w:val="009257EA"/>
    <w:rsid w:val="00936B80"/>
    <w:rsid w:val="00973A3B"/>
    <w:rsid w:val="00990E92"/>
    <w:rsid w:val="009A0B55"/>
    <w:rsid w:val="009A44E1"/>
    <w:rsid w:val="009B198F"/>
    <w:rsid w:val="009B2E1A"/>
    <w:rsid w:val="009B6CAE"/>
    <w:rsid w:val="009C27D6"/>
    <w:rsid w:val="00A06675"/>
    <w:rsid w:val="00A167F1"/>
    <w:rsid w:val="00A22C3C"/>
    <w:rsid w:val="00A26A85"/>
    <w:rsid w:val="00A32DAD"/>
    <w:rsid w:val="00A54612"/>
    <w:rsid w:val="00A80173"/>
    <w:rsid w:val="00AA38CE"/>
    <w:rsid w:val="00AB4A15"/>
    <w:rsid w:val="00AB6B3B"/>
    <w:rsid w:val="00AC1A10"/>
    <w:rsid w:val="00AC272A"/>
    <w:rsid w:val="00AF65EB"/>
    <w:rsid w:val="00B035FD"/>
    <w:rsid w:val="00B07AFB"/>
    <w:rsid w:val="00B229A2"/>
    <w:rsid w:val="00B25210"/>
    <w:rsid w:val="00B3396E"/>
    <w:rsid w:val="00B348F1"/>
    <w:rsid w:val="00B63B64"/>
    <w:rsid w:val="00B64531"/>
    <w:rsid w:val="00B82528"/>
    <w:rsid w:val="00BA53EE"/>
    <w:rsid w:val="00BB5EC7"/>
    <w:rsid w:val="00BD11C1"/>
    <w:rsid w:val="00BE4C4D"/>
    <w:rsid w:val="00BE4FDD"/>
    <w:rsid w:val="00BE61EC"/>
    <w:rsid w:val="00C56728"/>
    <w:rsid w:val="00C77999"/>
    <w:rsid w:val="00CC7695"/>
    <w:rsid w:val="00D263F3"/>
    <w:rsid w:val="00D57480"/>
    <w:rsid w:val="00D61BD1"/>
    <w:rsid w:val="00D64C3F"/>
    <w:rsid w:val="00D654B2"/>
    <w:rsid w:val="00D675B5"/>
    <w:rsid w:val="00D721E5"/>
    <w:rsid w:val="00D770F2"/>
    <w:rsid w:val="00D90926"/>
    <w:rsid w:val="00D962EC"/>
    <w:rsid w:val="00DA58AD"/>
    <w:rsid w:val="00DA6A00"/>
    <w:rsid w:val="00DB4D9B"/>
    <w:rsid w:val="00DB5017"/>
    <w:rsid w:val="00DB7029"/>
    <w:rsid w:val="00DC4066"/>
    <w:rsid w:val="00DE6164"/>
    <w:rsid w:val="00E0302D"/>
    <w:rsid w:val="00E146DF"/>
    <w:rsid w:val="00E2150E"/>
    <w:rsid w:val="00E241C2"/>
    <w:rsid w:val="00E32544"/>
    <w:rsid w:val="00E455F1"/>
    <w:rsid w:val="00EB6DB1"/>
    <w:rsid w:val="00ED2F06"/>
    <w:rsid w:val="00F003A7"/>
    <w:rsid w:val="00F00EFE"/>
    <w:rsid w:val="00F20818"/>
    <w:rsid w:val="00F23C7F"/>
    <w:rsid w:val="00F35816"/>
    <w:rsid w:val="00F77889"/>
    <w:rsid w:val="00F8627D"/>
    <w:rsid w:val="00F93123"/>
    <w:rsid w:val="00FA777E"/>
    <w:rsid w:val="00FA7FC8"/>
    <w:rsid w:val="00FB63C7"/>
    <w:rsid w:val="00FE110B"/>
    <w:rsid w:val="00FE7B68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02CB29"/>
  <w15:chartTrackingRefBased/>
  <w15:docId w15:val="{59399413-F944-4B0B-A329-3696BC3F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999"/>
    <w:pPr>
      <w:widowControl w:val="0"/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B25210"/>
    <w:pPr>
      <w:widowControl/>
      <w:numPr>
        <w:numId w:val="17"/>
      </w:numPr>
      <w:spacing w:before="480"/>
      <w:ind w:left="431" w:right="471" w:hanging="431"/>
      <w:outlineLvl w:val="0"/>
    </w:pPr>
    <w:rPr>
      <w:rFonts w:ascii="Cambria" w:hAnsi="Cambria"/>
      <w:b/>
      <w:bCs/>
      <w:cap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816"/>
    <w:pPr>
      <w:keepNext/>
      <w:keepLines/>
      <w:widowControl/>
      <w:numPr>
        <w:ilvl w:val="1"/>
        <w:numId w:val="15"/>
      </w:numPr>
      <w:spacing w:before="240" w:after="60"/>
      <w:ind w:left="578" w:hanging="578"/>
      <w:outlineLvl w:val="1"/>
    </w:pPr>
    <w:rPr>
      <w:rFonts w:ascii="Cambria" w:hAnsi="Cambria" w:cs="Times New Roman"/>
      <w:b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4B2"/>
    <w:pPr>
      <w:keepNext/>
      <w:keepLines/>
      <w:numPr>
        <w:ilvl w:val="2"/>
        <w:numId w:val="17"/>
      </w:numPr>
      <w:spacing w:before="40"/>
      <w:outlineLvl w:val="2"/>
    </w:pPr>
    <w:rPr>
      <w:rFonts w:ascii="Cambria" w:hAnsi="Cambria" w:cs="Times New Roman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4B2"/>
    <w:pPr>
      <w:keepNext/>
      <w:keepLines/>
      <w:numPr>
        <w:ilvl w:val="3"/>
        <w:numId w:val="17"/>
      </w:numPr>
      <w:spacing w:before="40"/>
      <w:outlineLvl w:val="3"/>
    </w:pPr>
    <w:rPr>
      <w:rFonts w:ascii="Cambria" w:hAnsi="Cambria" w:cs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4B2"/>
    <w:pPr>
      <w:keepNext/>
      <w:keepLines/>
      <w:numPr>
        <w:ilvl w:val="4"/>
        <w:numId w:val="17"/>
      </w:numPr>
      <w:spacing w:before="40"/>
      <w:outlineLvl w:val="4"/>
    </w:pPr>
    <w:rPr>
      <w:rFonts w:ascii="Cambria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4B2"/>
    <w:pPr>
      <w:keepNext/>
      <w:keepLines/>
      <w:numPr>
        <w:ilvl w:val="5"/>
        <w:numId w:val="17"/>
      </w:numPr>
      <w:spacing w:before="40"/>
      <w:outlineLvl w:val="5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4B2"/>
    <w:pPr>
      <w:keepNext/>
      <w:keepLines/>
      <w:numPr>
        <w:ilvl w:val="6"/>
        <w:numId w:val="17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4B2"/>
    <w:pPr>
      <w:keepNext/>
      <w:keepLines/>
      <w:numPr>
        <w:ilvl w:val="7"/>
        <w:numId w:val="17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4B2"/>
    <w:pPr>
      <w:keepNext/>
      <w:keepLines/>
      <w:numPr>
        <w:ilvl w:val="8"/>
        <w:numId w:val="17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35816"/>
    <w:rPr>
      <w:rFonts w:ascii="Cambria" w:hAnsi="Cambria" w:cs="Times New Roman"/>
      <w:b/>
      <w:color w:val="17365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1179C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1179C"/>
    <w:rPr>
      <w:rFonts w:ascii="Cambria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1179C"/>
    <w:rPr>
      <w:rFonts w:ascii="Cambria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1179C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1179C"/>
    <w:rPr>
      <w:rFonts w:ascii="Cambria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81179C"/>
    <w:rPr>
      <w:rFonts w:ascii="Cambria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1179C"/>
    <w:rPr>
      <w:rFonts w:ascii="Cambria" w:hAnsi="Cambria" w:cs="Times New Roman"/>
      <w:i/>
      <w:iCs/>
      <w:color w:val="272727"/>
      <w:sz w:val="21"/>
      <w:szCs w:val="21"/>
    </w:rPr>
  </w:style>
  <w:style w:type="paragraph" w:styleId="BodyText">
    <w:name w:val="Body Text"/>
    <w:basedOn w:val="Normal"/>
    <w:link w:val="BodyTextChar"/>
    <w:uiPriority w:val="1"/>
    <w:rsid w:val="0081179C"/>
    <w:pPr>
      <w:ind w:left="100" w:right="473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rsid w:val="0081179C"/>
    <w:pPr>
      <w:spacing w:before="44"/>
      <w:ind w:left="820" w:hanging="360"/>
    </w:pPr>
  </w:style>
  <w:style w:type="paragraph" w:customStyle="1" w:styleId="TableParagraph">
    <w:name w:val="Table Paragraph"/>
    <w:basedOn w:val="Normal"/>
    <w:uiPriority w:val="1"/>
    <w:rsid w:val="0081179C"/>
  </w:style>
  <w:style w:type="paragraph" w:styleId="Header">
    <w:name w:val="header"/>
    <w:basedOn w:val="Normal"/>
    <w:link w:val="HeaderChar"/>
    <w:uiPriority w:val="99"/>
    <w:unhideWhenUsed/>
    <w:rsid w:val="00F00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EF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0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EFE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81179C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81179C"/>
    <w:rPr>
      <w:rFonts w:ascii="Cambria" w:hAnsi="Cambria" w:cs="Times New Roman"/>
      <w:color w:val="17365D"/>
      <w:spacing w:val="5"/>
      <w:kern w:val="28"/>
      <w:sz w:val="52"/>
      <w:szCs w:val="52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F3C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B64531"/>
    <w:rPr>
      <w:rFonts w:cs="Times New Roman"/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7A0C85"/>
    <w:rPr>
      <w:rFonts w:cs="Times New Roman"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F8B"/>
    <w:pPr>
      <w:numPr>
        <w:ilvl w:val="1"/>
      </w:numPr>
      <w:spacing w:after="160"/>
    </w:pPr>
    <w:rPr>
      <w:rFonts w:ascii="Cambria" w:hAnsi="Cambria" w:cs="Times New Roman"/>
      <w:color w:val="5A5A5A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95F8B"/>
    <w:rPr>
      <w:rFonts w:ascii="Cambria" w:hAnsi="Cambria" w:cs="Times New Roman"/>
      <w:color w:val="5A5A5A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375841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9B2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Geoff%20Davies\Documents\Custom%20Office%20Templates\ADPC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E:\Geoff Davies\Documents\Custom Office Templates\ADPC Policy.dotx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Policy</vt:lpstr>
    </vt:vector>
  </TitlesOfParts>
  <Company>Above Derwent Parish Council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Policy</dc:title>
  <dc:subject/>
  <dc:creator>Geoff</dc:creator>
  <cp:keywords/>
  <dc:description/>
  <cp:lastModifiedBy>Becx Carter</cp:lastModifiedBy>
  <cp:revision>2</cp:revision>
  <cp:lastPrinted>2021-04-18T22:15:00Z</cp:lastPrinted>
  <dcterms:created xsi:type="dcterms:W3CDTF">2024-01-08T14:49:00Z</dcterms:created>
  <dcterms:modified xsi:type="dcterms:W3CDTF">2024-01-08T14:49:00Z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